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ALAN ADI TESCİL, TRANSFER VE YENİLEME ŞARTLARI</w:t>
      </w:r>
    </w:p>
    <w:p>
      <w:pPr>
        <w:pStyle w:val="LegalSubtitle"/>
      </w:pPr>
      <w:r>
        <w:t>Alan adı başvuru, tahsis, hak sahipliği, DNS ve kayıt kuruluşu süreçlerine ilişkin özel hükümler.</w:t>
      </w:r>
    </w:p>
    <w:p>
      <w:r>
        <w:rPr>
          <w:color w:val="677274"/>
          <w:sz w:val="16"/>
        </w:rPr>
        <w:t>Yürürlük tarihi: 4 Kasım 2026     •     Sürüm: 1.0</w:t>
      </w:r>
    </w:p>
    <w:p>
      <w:pPr>
        <w:pStyle w:val="LegalAccent"/>
      </w:pPr>
      <w:r>
        <w:t xml:space="preserve"> </w:t>
      </w:r>
    </w:p>
    <w:p>
      <w:pPr>
        <w:pStyle w:val="Heading1"/>
      </w:pPr>
      <w:r>
        <w:t>1. TARAFLAR VE HİZMETİN NİTELİĞİ</w:t>
      </w:r>
    </w:p>
    <w:p>
      <w:r>
        <w:t>Keşfedil, alan adı kayıt, yenileme, transfer, DNS ve yönlendirme işlemlerini kendi müşteri paneli ve anlaşmalı kayıt altyapısı üzerinden kolaylaştırır. Alan adları, ilgili kayıt operatörü ve kayıt kuruluşu kurallarına tabi olup, son tahsis kararı ilgili kayıt sistemlerinde verilir. Keşfedil, teknik hizmetin niteliğine göre DomainNameAPI (APINAME) altyapısını kullanabilir.</w:t>
      </w:r>
    </w:p>
    <w:p>
      <w:pPr>
        <w:pStyle w:val="Heading1"/>
      </w:pPr>
      <w:r>
        <w:t>2. AYRI ALAN ADI SATIN ALIMI</w:t>
      </w:r>
    </w:p>
    <w:p>
      <w:r>
        <w:t>Müşteri alan adı hizmetini hazır web sitesi paketi olmadan bağımsız olarak satın alabilir ve yönetebilir. Alan adı hizmeti ile hazır web sitesi aboneliği ayrı hukuki ve teknik hizmetlerdir. Bir hizmetin sona ermesi diğerinin kayıt süresini veya kayıt sahibi haklarını kendiliğinden değiştirmez.</w:t>
      </w:r>
    </w:p>
    <w:p>
      <w:pPr>
        <w:pStyle w:val="Heading1"/>
      </w:pPr>
      <w:r>
        <w:t>3. KAYIT SAHİBİ VE DOĞRU BİLGİ</w:t>
      </w:r>
    </w:p>
    <w:p>
      <w:r>
        <w:t>Alan adları, Müşterinin bildirdiği gerçek ve doğrulanabilir hak sahipliği bilgileriyle Müşteri adına tescil edilir. Müşteri, başkasının marka, ticaret unvanı veya kişilik haklarını ihlal eden alan adı seçemez; kayıt politikalarının gerektirdiği bilgileri doğru ve güncel tutar. Yanlış kimlik ya da iletişim bilgisi nedeniyle alan adı askıya alınabilir veya kayıt operatörü tarafından işlem yapılabilir.</w:t>
      </w:r>
    </w:p>
    <w:p>
      <w:pPr>
        <w:pStyle w:val="Heading1"/>
      </w:pPr>
      <w:r>
        <w:t>4. MÜSAİTLİK SORGUSU VE KAYIT</w:t>
      </w:r>
    </w:p>
    <w:p>
      <w:r>
        <w:t>Alan adı sorgusunda müsait görünen bir adın sipariş tamamlanıncaya kadar başka kişi tarafından tescil edilmesi mümkündür. Tescil ancak kayıt kuruluşu veya kayıt operatörü tarafından onaylandığında kesinleşir. Başarısız kayıt işlemi için hukuken hak edilen bedel iadesi veya uygun alternatif işlem Müşteriye sunulur.</w:t>
      </w:r>
    </w:p>
    <w:p>
      <w:pPr>
        <w:pStyle w:val="Heading1"/>
      </w:pPr>
      <w:r>
        <w:t>5. KAYIT DÖNEMİ VE YENİLEME</w:t>
      </w:r>
    </w:p>
    <w:p>
      <w:r>
        <w:t>Alan adı tahsis süresi, uzantıya ve siparişte seçilen kayıt dönemine göre belirlenir. Yenileme işlemi otomatik olarak garanti edilmez; ilgili dönem için Müşterinin talimatı, ödeme ve kayıt operatörünün koşulları gerekir. Müşteri sona erme tarihini panelden takip eder ve yenileme işlemini yeterli süre önce tamamlar. Sürenin bitmesi, silinme veya başkası tarafından yeniden tahsis gibi sonuçlar ilgili uzantı politikasına bağlıdır.</w:t>
      </w:r>
    </w:p>
    <w:p>
      <w:pPr>
        <w:pStyle w:val="Heading1"/>
      </w:pPr>
      <w:r>
        <w:t>6. FİYAT, KUR VE KAMPANYALAR</w:t>
      </w:r>
    </w:p>
    <w:p>
      <w:r>
        <w:t>Alan adı fiyatları uzantı, premium ad durumu, kayıt dönemi, tedarikçi maliyeti ve güncel döviz kuru dikkate alınarak belirlenebilir. Ödeme alınmadan önce işlem bedeli, vergiler ve varsa diğer ücretler Türk lirası olarak gösterilir. Uygun uzantıların web sitesi paketi ile dönemsel ücretsiz sunulması bir kampanyadır; sonraki yıllarda aynı kampanya veya fiyatın devamı garanti edilmez. Her yenilemede geçerli şartlar ödeme öncesi açıklanır.</w:t>
      </w:r>
    </w:p>
    <w:p>
      <w:pPr>
        <w:pStyle w:val="Heading1"/>
      </w:pPr>
      <w:r>
        <w:t>7. DNS, YÖNLENDİRME VE AD SUNUCULARI</w:t>
      </w:r>
    </w:p>
    <w:p>
      <w:r>
        <w:t>Müşteri panelde sağlanan imkânlarla DNS, yönlendirme ve alan adının bağlı olduğu hizmetleri yönetebilir. Hatalı DNS değişiklikleri, üçüncü taraf altyapı arızaları, internet genelindeki önbellekler ve teknik yayılım süreleri sebebiyle sitenin veya e-postanın geçici erişilememesi mümkündür. Güvenliği etkileyen hatalı kayıtlar için Keşfedil makul koruyucu önlemler alabilir.</w:t>
      </w:r>
    </w:p>
    <w:p>
      <w:pPr>
        <w:pStyle w:val="Heading1"/>
      </w:pPr>
      <w:r>
        <w:t>8. TRANSFER VE KAYIT SAHİBİ DEĞİŞİKLİĞİ</w:t>
      </w:r>
    </w:p>
    <w:p>
      <w:r>
        <w:t>Müşterinin alan adını başka kayıt kuruluşuna transfer etme hakkı, ilgili uzantının transfer kuralları, kilit süreleri, kayıt sahibi teyidi ve hukuki engeller saklı kalmak üzere korunur. Transfer kodu veya işlem yetkisi, hak sahibi doğrulamasından sonra teknik olarak mümkün olan kanallardan sağlanır. Transfer sonucunda farklı kayıt kuruluşunun uyguladığı ücretler ve koşullar geçerli olabilir.</w:t>
      </w:r>
    </w:p>
    <w:p>
      <w:pPr>
        <w:pStyle w:val="Heading1"/>
      </w:pPr>
      <w:r>
        <w:t>9. .TR VE DİĞER UZANTI KURALLARI</w:t>
      </w:r>
    </w:p>
    <w:p>
      <w:r>
        <w:t>.tr uzantıları için TRABİS ve ilgili kayıt operatörü düzenlemeleri; diğer genel veya ülke kodlu uzantılar için ICANN, ilgili kayıt sözleşmeleri ve uzantıya özel tahsis kuralları uygulanabilir. İlgili otoritenin tahsis, erişim, uyuşmazlık çözümü, kimlik doğrulama veya geri alma kararları bağlayıcı olabilir.</w:t>
      </w:r>
    </w:p>
    <w:p>
      <w:pPr>
        <w:pStyle w:val="Heading1"/>
      </w:pPr>
      <w:r>
        <w:t>10. ALAN ADI UYUŞMAZLIKLARI</w:t>
      </w:r>
    </w:p>
    <w:p>
      <w:r>
        <w:t>Alan adının bir üçüncü kişinin marka, ad veya diğer haklarını ihlal etmesi durumunda doğacak uyuşmazlıklar, uygulanan uyuşmazlık çözüm mekanizmaları ve mahkeme kararları uyarınca ele alınır. Keşfedil, hak sahibi belgeleri ve yetkili makam kararları doğrultusunda işlem yapabilir; Müşteriye, hukuken sakıncalı olmayan ölçüde bilgi verir.</w:t>
      </w:r>
    </w:p>
    <w:p>
      <w:pPr>
        <w:pStyle w:val="Heading1"/>
      </w:pPr>
      <w:r>
        <w:t>11. İPTAL VE İADE</w:t>
      </w:r>
    </w:p>
    <w:p>
      <w:r>
        <w:t>Tescil, yenileme ve transfer işlemlerinin üçüncü taraf kayıt sistemlerinde geri alınabilirliği ve hizmetin ifa anı değişebilir. İşleme özgü iptal ve iade koşulları sipariş öncesinde belirtilir. Tüketiciye kanunla tanınmış cayma ve iade hakları saklıdır; kayıt operatörünün teknik politikası tek başına bu hakları kaldırmaz.</w:t>
      </w:r>
    </w:p>
    <w:p>
      <w:pPr>
        <w:pStyle w:val="Heading1"/>
      </w:pPr>
      <w:r>
        <w:t>12. SÜRE SONU VE SAKLAMA</w:t>
      </w:r>
    </w:p>
    <w:p>
      <w:r>
        <w:t>Alan adı süresinin bitmesi hâlinde ilgili operatör politikalarına göre askı, kurtarma, silme veya yeniden tahsis dönemleri uygulanabilir. Bu dönemlerin süresi bütün uzantılarda aynı değildir. Yenileme ve kurtarma ücretleri işlem öncesinde gösterilir. Keşfedil, sona eren bir alan adının yeniden kullanılabilir kalacağını garanti etmez.</w:t>
      </w:r>
    </w:p>
    <w:p>
      <w:pPr>
        <w:pStyle w:val="Heading1"/>
      </w:pPr>
      <w:r>
        <w:t>13. İLETİŞİM</w:t>
      </w:r>
    </w:p>
    <w:p>
      <w:r>
        <w:t>Alan adı kayıt sahibi, yenileme ve transfer başvuruları: info@kesfedil.com; 0850 303 41 20; KEP: ali.aydinlioglu@hs01.kep.tr.</w:t>
      </w:r>
    </w:p>
    <w:sectPr w:rsidR="00FC693F" w:rsidRPr="0006063C" w:rsidSect="00034616">
      <w:headerReference w:type="default" r:id="rId9"/>
      <w:footerReference w:type="default" r:id="rId10"/>
      <w:pgSz w:w="11906" w:h="16838"/>
      <w:pgMar w:top="1219" w:right="1247" w:bottom="1134" w:left="1247" w:header="539" w:footer="51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color w:val="747E81"/>
        <w:sz w:val="15"/>
      </w:rPr>
      <w:t xml:space="preserve">ALİ AYDINLIOĞLU – KEŞFEDİL   •   www.kesfedil.com   |   </w:t>
    </w:r>
    <w:r>
      <w:fldChar w:fldCharType="begin"/>
      <w:instrText xml:space="preserve">PAGE</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rPr>
        <w:rFonts w:ascii="Aptos" w:hAnsi="Aptos"/>
        <w:b/>
        <w:color w:val="466E72"/>
        <w:sz w:val="16"/>
      </w:rPr>
      <w:t>KEŞFEDİL  |  YASAL BELGELER</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32" w:line="278" w:lineRule="auto"/>
    </w:pPr>
    <w:rPr>
      <w:rFonts w:ascii="Aptos" w:hAnsi="Aptos"/>
      <w:color w:val="242F37"/>
      <w:sz w:val="19"/>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40" w:after="100"/>
      <w:outlineLvl w:val="0"/>
    </w:pPr>
    <w:rPr>
      <w:rFonts w:asciiTheme="majorHAnsi" w:eastAsiaTheme="majorEastAsia" w:hAnsiTheme="majorHAnsi" w:cstheme="majorBidi" w:ascii="Aptos Display" w:hAnsi="Aptos Display"/>
      <w:b/>
      <w:bCs/>
      <w:color w:val="1B585F"/>
      <w:sz w:val="22"/>
      <w:szCs w:val="28"/>
    </w:rPr>
  </w:style>
  <w:style w:type="paragraph" w:styleId="Heading2">
    <w:name w:val="heading 2"/>
    <w:basedOn w:val="Normal"/>
    <w:next w:val="Normal"/>
    <w:link w:val="Heading2Char"/>
    <w:uiPriority w:val="9"/>
    <w:unhideWhenUsed/>
    <w:qFormat/>
    <w:rsid w:val="00FC693F"/>
    <w:pPr>
      <w:keepNext/>
      <w:keepLines/>
      <w:spacing w:before="200" w:after="80"/>
      <w:outlineLvl w:val="1"/>
    </w:pPr>
    <w:rPr>
      <w:rFonts w:asciiTheme="majorHAnsi" w:eastAsiaTheme="majorEastAsia" w:hAnsiTheme="majorHAnsi" w:cstheme="majorBidi" w:ascii="Aptos Display" w:hAnsi="Aptos Display"/>
      <w:b/>
      <w:bCs/>
      <w:color w:val="1B585F"/>
      <w:sz w:val="20"/>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160" w:line="240" w:lineRule="auto" w:before="0"/>
      <w:contextualSpacing/>
    </w:pPr>
    <w:rPr>
      <w:rFonts w:asciiTheme="majorHAnsi" w:eastAsiaTheme="majorEastAsia" w:hAnsiTheme="majorHAnsi" w:cstheme="majorBidi" w:ascii="Aptos Display" w:hAnsi="Aptos Display"/>
      <w:b/>
      <w:color w:val="1A3743"/>
      <w:spacing w:val="5"/>
      <w:kern w:val="28"/>
      <w:sz w:val="37"/>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LegalAccent">
    <w:name w:val="LegalAccent"/>
    <w:pPr>
      <w:spacing w:after="300"/>
      <w:pBdr>
        <w:bottom w:val="single" w:sz="15" w:color="B8C7B6"/>
      </w:pBdr>
    </w:pPr>
    <w:rPr>
      <w:sz w:val="2"/>
    </w:rPr>
  </w:style>
  <w:style w:type="paragraph" w:customStyle="1" w:styleId="LegalSubtitle">
    <w:name w:val="LegalSubtitle"/>
    <w:basedOn w:val="Normal"/>
    <w:pPr>
      <w:spacing w:after="140"/>
    </w:pPr>
    <w:rPr>
      <w:color w:val="636C75"/>
      <w:sz w:val="21"/>
    </w:rPr>
  </w:style>
  <w:style w:type="paragraph" w:customStyle="1" w:styleId="LegalBullet">
    <w:name w:val="LegalBullet"/>
    <w:basedOn w:val="Normal"/>
    <w:pPr>
      <w:spacing w:after="70"/>
      <w:ind w:left="283" w:hanging="13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ALAN ADI TESCİL, TRANSFER VE YENİLEME ŞARTLARI</dc:title>
  <dc:subject>Keşfedil hukuki metinler</dc:subject>
  <dc:creator>KEŞFEDİL</dc:creator>
  <cp:keywords/>
  <dc:description>generated by python-docx</dc:description>
  <cp:lastModifiedBy/>
  <cp:revision>1</cp:revision>
  <dcterms:created xsi:type="dcterms:W3CDTF">2013-12-23T23:15:00Z</dcterms:created>
  <dcterms:modified xsi:type="dcterms:W3CDTF">2013-12-23T23:15:00Z</dcterms:modified>
  <cp:category/>
</cp:coreProperties>
</file>